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7C742">
      <w:pPr>
        <w:jc w:val="both"/>
        <w:rPr>
          <w:rFonts w:hint="default" w:ascii="Calibri Light" w:hAnsi="Calibri Light" w:cs="Calibri Light"/>
          <w:lang w:val="es-ES"/>
        </w:rPr>
      </w:pPr>
      <w:r>
        <w:rPr>
          <w:rFonts w:hint="default" w:ascii="Calibri Light" w:hAnsi="Calibri Light" w:cs="Calibri Light"/>
          <w:lang w:val="es-ES"/>
        </w:rPr>
        <w:t>El Comité Fiduciario Virtual No. 06 del P.A. FINDETER MININTERIOR BANCO DE PROYECTOS 4.0. fue convocado con el fin de someter a consideración de los miembros del comité una solicitud de modificación contractual relacionada con el contrato de prestación de servicios No. PS-177-2025 - PAF-MININTERIOR-PS-177-2025, suscrito con el contratista Carlos Julián Molano Muñoz, quien venía desarrollando actividades asociadas al diseño gráfico, elaboración de piezas institucionales, contenidos visuales y fortalecimiento de la estrategia de comunicación del Banco de Iniciativas derivado del Contrato Interadministrativo 1773 de 2025.</w:t>
      </w:r>
    </w:p>
    <w:p w14:paraId="5F7170CB">
      <w:pPr>
        <w:jc w:val="both"/>
        <w:rPr>
          <w:rFonts w:hint="default" w:ascii="Calibri Light" w:hAnsi="Calibri Light" w:cs="Calibri Light"/>
          <w:lang w:val="es-ES"/>
        </w:rPr>
      </w:pPr>
    </w:p>
    <w:p w14:paraId="3622B682">
      <w:pPr>
        <w:jc w:val="both"/>
        <w:rPr>
          <w:rFonts w:hint="default" w:ascii="Calibri Light" w:hAnsi="Calibri Light" w:cs="Calibri Light"/>
          <w:lang w:val="es-ES"/>
        </w:rPr>
      </w:pPr>
      <w:r>
        <w:rPr>
          <w:rFonts w:hint="default" w:ascii="Calibri Light" w:hAnsi="Calibri Light" w:cs="Calibri Light"/>
          <w:lang w:val="es-ES"/>
        </w:rPr>
        <w:t>Durante la sesión se puso a consideración la solicitud de prórroga del contrato por un término adicional de noventa (90) días, contados a partir del 5 de abril de 2026 y hasta el 5 de julio de 2026, así como una adición presupuestal por valor de quince millones de pesos ($15.000.000 M/CTE), con el fin de dar continuidad a las actividades comunicacionales y gráficas requeridas para el desarrollo del programa. Con esta modificación, el valor total del contrato ascendería a treinta millones de pesos ($30.000.000 M/CTE).</w:t>
      </w:r>
    </w:p>
    <w:p w14:paraId="50305EA8">
      <w:pPr>
        <w:jc w:val="both"/>
        <w:rPr>
          <w:rFonts w:hint="default" w:ascii="Calibri Light" w:hAnsi="Calibri Light" w:cs="Calibri Light"/>
          <w:lang w:val="es-ES"/>
        </w:rPr>
      </w:pPr>
    </w:p>
    <w:p w14:paraId="3E979EAA">
      <w:pPr>
        <w:jc w:val="both"/>
        <w:rPr>
          <w:rFonts w:hint="default" w:ascii="Calibri Light" w:hAnsi="Calibri Light" w:cs="Calibri Light"/>
          <w:lang w:val="es-ES"/>
        </w:rPr>
      </w:pPr>
      <w:r>
        <w:rPr>
          <w:rFonts w:hint="default" w:ascii="Calibri Light" w:hAnsi="Calibri Light" w:cs="Calibri Light"/>
          <w:lang w:val="es-ES"/>
        </w:rPr>
        <w:t>En el desarrollo del comité se adjuntó el soporte técnico y jurídico de la solicitud, en el cual se expuso que el contrato había iniciado el 5 de enero de 2026 con una duración inicial de tres meses, presentando a la fecha un avance financiero del 66%. Asimismo, se indicó que las actividades ejecutadas por el contratista habían contribuido al fortalecimiento de la estrategia de comunicación del Banco de Iniciativas mediante la producción de piezas gráficas institucionales, lineamientos visuales, contenidos pedagógicos, material para medios digitales y actualización de recursos visuales para la página web e imagen institucional del programa.</w:t>
      </w:r>
    </w:p>
    <w:p w14:paraId="51497431">
      <w:pPr>
        <w:jc w:val="both"/>
        <w:rPr>
          <w:rFonts w:hint="default" w:ascii="Calibri Light" w:hAnsi="Calibri Light" w:cs="Calibri Light"/>
          <w:lang w:val="es-ES"/>
        </w:rPr>
      </w:pPr>
    </w:p>
    <w:p w14:paraId="27193580">
      <w:pPr>
        <w:jc w:val="both"/>
        <w:rPr>
          <w:rFonts w:hint="default" w:ascii="Calibri Light" w:hAnsi="Calibri Light" w:cs="Calibri Light"/>
          <w:lang w:val="es-ES"/>
        </w:rPr>
      </w:pPr>
      <w:r>
        <w:rPr>
          <w:rFonts w:hint="default" w:ascii="Calibri Light" w:hAnsi="Calibri Light" w:cs="Calibri Light"/>
          <w:lang w:val="es-ES"/>
        </w:rPr>
        <w:t>Dentro de la justificación presentada por la supervisión se señaló que persistía la necesidad de continuar con la elaboración de contenidos visuales, piezas pedagógicas e insumos gráficos requeridos para comunicar avances, resultados e impacto del programa en los territorios, razón por la cual se consideró necesario extender el plazo contractual y adicionar recursos que permitieran garantizar la culminación de los productos proyectados.</w:t>
      </w:r>
    </w:p>
    <w:p w14:paraId="780F88E5">
      <w:pPr>
        <w:jc w:val="both"/>
        <w:rPr>
          <w:rFonts w:hint="default" w:ascii="Calibri Light" w:hAnsi="Calibri Light" w:cs="Calibri Light"/>
          <w:lang w:val="es-ES"/>
        </w:rPr>
      </w:pPr>
    </w:p>
    <w:p w14:paraId="1F6AB45F">
      <w:pPr>
        <w:jc w:val="both"/>
        <w:rPr>
          <w:rFonts w:hint="default" w:ascii="Calibri Light" w:hAnsi="Calibri Light" w:cs="Calibri Light"/>
          <w:lang w:val="es-ES"/>
        </w:rPr>
      </w:pPr>
      <w:r>
        <w:rPr>
          <w:rFonts w:hint="default" w:ascii="Calibri Light" w:hAnsi="Calibri Light" w:cs="Calibri Light"/>
          <w:lang w:val="es-ES"/>
        </w:rPr>
        <w:t>Igualmente, se dejó constancia de que la solicitud se encontraba soportada en las disposiciones del Manual Operativo relacionadas con las competencias del Comité Técnico y Comité Fiduciario para recomendar y aprobar modificaciones contractuales, adiciones y prórrogas. De la misma manera, la supervisión confirmó que el contrato se encontraba vigente, con pólizas debidamente constituidas y actualizadas, y que, tras la verificación de antecedentes disciplinarios, fiscales y judiciales del contratista, no se evidenciaban reportes, sanciones ni inhabilidades que impidieran la continuidad contractual.</w:t>
      </w:r>
    </w:p>
    <w:p w14:paraId="562B05C8">
      <w:pPr>
        <w:jc w:val="both"/>
        <w:rPr>
          <w:rFonts w:hint="default" w:ascii="Calibri Light" w:hAnsi="Calibri Light" w:cs="Calibri Light"/>
          <w:lang w:val="es-ES"/>
        </w:rPr>
      </w:pPr>
    </w:p>
    <w:p w14:paraId="500F18B5">
      <w:pPr>
        <w:jc w:val="both"/>
        <w:rPr>
          <w:rFonts w:hint="default" w:ascii="Calibri Light" w:hAnsi="Calibri Light" w:cs="Calibri Light"/>
          <w:lang w:val="es-ES"/>
        </w:rPr>
      </w:pPr>
      <w:r>
        <w:rPr>
          <w:rFonts w:hint="default" w:ascii="Calibri Light" w:hAnsi="Calibri Light" w:cs="Calibri Light"/>
          <w:lang w:val="es-ES"/>
        </w:rPr>
        <w:t>Como parte del concepto emitido por la supervisión, se recomendó favorablemente la modificación de la cláusula cuarta relacionada con el plazo de ejecución y de la cláusula segunda correspondiente al valor del contrato, argumentando que las actividades pendientes eran complementarias a las ya desarrolladas y resultaban necesarias para garantizar la adecuada finalización de la estrategia integral de comunicación del Banco de Iniciativas.</w:t>
      </w:r>
    </w:p>
    <w:p w14:paraId="455A5DF5">
      <w:pPr>
        <w:jc w:val="both"/>
        <w:rPr>
          <w:rFonts w:hint="default" w:ascii="Calibri Light" w:hAnsi="Calibri Light" w:cs="Calibri Light"/>
          <w:lang w:val="es-ES"/>
        </w:rPr>
      </w:pPr>
    </w:p>
    <w:p w14:paraId="31E0E667">
      <w:pPr>
        <w:jc w:val="both"/>
        <w:rPr>
          <w:rFonts w:hint="default" w:ascii="Calibri Light" w:hAnsi="Calibri Light" w:cs="Calibri Light"/>
          <w:lang w:val="es-ES"/>
        </w:rPr>
      </w:pPr>
      <w:r>
        <w:rPr>
          <w:rFonts w:hint="default" w:ascii="Calibri Light" w:hAnsi="Calibri Light" w:cs="Calibri Light"/>
          <w:lang w:val="es-ES"/>
        </w:rPr>
        <w:t>Lo anterior fue presentado ante el Comité Fiduciario como resultado de la recomendación emitida previamente por el Comité Técnico, en el marco del trámite de modificación contractual solicitado para garantizar la continuidad y cierre adecuado de las actividades asociadas al componente gráfico y comunicacional del programa.</w:t>
      </w:r>
      <w:bookmarkStart w:id="1" w:name="_GoBack"/>
      <w:bookmarkEnd w:id="1"/>
    </w:p>
    <w:p w14:paraId="25CAE74E">
      <w:pPr>
        <w:jc w:val="both"/>
        <w:rPr>
          <w:rFonts w:hint="default" w:ascii="Calibri Light" w:hAnsi="Calibri Light" w:cs="Calibri Light"/>
          <w:lang w:val="es-ES"/>
        </w:rPr>
      </w:pPr>
    </w:p>
    <w:p w14:paraId="1E759A63">
      <w:pPr>
        <w:jc w:val="both"/>
        <w:rPr>
          <w:rFonts w:hint="default" w:ascii="Calibri Light" w:hAnsi="Calibri Light" w:cs="Calibri Light"/>
          <w:lang w:val="es-ES"/>
        </w:rPr>
      </w:pPr>
      <w:r>
        <w:rPr>
          <w:rFonts w:hint="default" w:ascii="Calibri Light" w:hAnsi="Calibri Light" w:cs="Calibri Light"/>
          <w:lang w:val="es-ES"/>
        </w:rPr>
        <w:t>Adicionalmente, durante el desarrollo del Comité Fiduciario Virtual No. 06 se adjuntó la solicitud formal de prórroga y adición presentada por el contratista Carlos Julián Molano Muñoz, dirigida a la supervisión de FINDETER. En dicha comunicación se expuso que, en ejecución del contrato, se venían adelantando actividades relacionadas con la estructuración de la línea gráfica del Banco de Iniciativas, implementación de identidad visual institucional, diseño de piezas para medios digitales y redes sociales, apoyo visual para la página web, diagramación de contenidos institucionales y producción de material gráfico para espacios internos y externos del programa.</w:t>
      </w:r>
    </w:p>
    <w:p w14:paraId="64A4A0BD">
      <w:pPr>
        <w:jc w:val="both"/>
        <w:rPr>
          <w:rFonts w:hint="default" w:ascii="Calibri Light" w:hAnsi="Calibri Light" w:cs="Calibri Light"/>
          <w:lang w:val="es-ES"/>
        </w:rPr>
      </w:pPr>
      <w:r>
        <w:rPr>
          <w:rFonts w:hint="default" w:ascii="Calibri Light" w:hAnsi="Calibri Light" w:cs="Calibri Light"/>
          <w:lang w:val="es-ES"/>
        </w:rPr>
        <w:t>En la solicitud se indicó que, durante el desarrollo del proyecto, surgieron mayores tiempos de gestión derivados de ajustes solicitados por el Ministerio del Interior, procesos de validación, requerimientos adicionales de diseño y coordinación de contenidos, situación que generó actividades complementarias no previstas inicialmente y la necesidad de extender el tiempo de ejecución contractual.</w:t>
      </w:r>
    </w:p>
    <w:p w14:paraId="315FC80D">
      <w:pPr>
        <w:jc w:val="both"/>
        <w:rPr>
          <w:rFonts w:hint="default" w:ascii="Calibri Light" w:hAnsi="Calibri Light" w:cs="Calibri Light"/>
          <w:lang w:val="es-ES"/>
        </w:rPr>
      </w:pPr>
      <w:r>
        <w:rPr>
          <w:rFonts w:hint="default" w:ascii="Calibri Light" w:hAnsi="Calibri Light" w:cs="Calibri Light"/>
          <w:lang w:val="es-ES"/>
        </w:rPr>
        <w:t>Asimismo, el contratista manifestó que persistía la necesidad de continuar con el desarrollo de piezas gráficas pedagógicas dirigidas a organizaciones sociales beneficiarias, contenidos visuales explicativos sobre los procesos de vinculación, requisitos y desembolsos, actualización de banners y recursos visuales para la página web, fortalecimiento de material institucional e infografías orientadas a comunicar indicadores, avances, resultados e impacto del programa en las comunidades.</w:t>
      </w:r>
    </w:p>
    <w:p w14:paraId="6B7DB2EB">
      <w:pPr>
        <w:jc w:val="both"/>
        <w:rPr>
          <w:rFonts w:hint="default" w:ascii="Calibri Light" w:hAnsi="Calibri Light" w:cs="Calibri Light"/>
          <w:lang w:val="es-ES"/>
        </w:rPr>
      </w:pPr>
      <w:r>
        <w:rPr>
          <w:rFonts w:hint="default" w:ascii="Calibri Light" w:hAnsi="Calibri Light" w:cs="Calibri Light"/>
          <w:lang w:val="es-ES"/>
        </w:rPr>
        <w:t>Con fundamento en lo anterior, se solicitó formalmente la prórroga del contrato por noventa (90) días adicionales, comprendidos entre el 5 de abril y el 5 de julio de 2026, así como una adición presupuestal por valor de quince millones de pesos ($15.000.000 M/CTE), con el propósito de garantizar la culminación integral de las actividades y productos asociados al componente gráfico y comunicacional del Banco de Iniciativas.</w:t>
      </w:r>
    </w:p>
    <w:p w14:paraId="370C325B">
      <w:pPr>
        <w:jc w:val="both"/>
        <w:rPr>
          <w:rFonts w:hint="default" w:ascii="Calibri Light" w:hAnsi="Calibri Light" w:cs="Calibri Light"/>
          <w:lang w:val="es-ES"/>
        </w:rPr>
      </w:pPr>
      <w:r>
        <w:rPr>
          <w:rFonts w:hint="default" w:ascii="Calibri Light" w:hAnsi="Calibri Light" w:cs="Calibri Light"/>
          <w:lang w:val="es-ES"/>
        </w:rPr>
        <w:t>Una vez revisada la documentación técnica, contractual y presupuestal presentada, los miembros del Comité Fiduciario emitieron voto favorable frente a la solicitud de modificación contractual, aprobando de manera unánime la prórroga y adición del contrato No. PS-177-2025 - PAF-MININTERIOR-PS-177-2025.</w:t>
      </w:r>
    </w:p>
    <w:p w14:paraId="12D66968">
      <w:pPr>
        <w:rPr>
          <w:rFonts w:hint="default"/>
          <w:lang w:val="es-ES"/>
        </w:rPr>
      </w:pPr>
    </w:p>
    <w:sectPr>
      <w:headerReference r:id="rId3" w:type="default"/>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
      <w:tblpPr w:leftFromText="180" w:rightFromText="180" w:vertAnchor="text" w:horzAnchor="page" w:tblpX="1147" w:tblpY="-2"/>
      <w:tblOverlap w:val="never"/>
      <w:tblW w:w="1005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938"/>
      <w:gridCol w:w="8112"/>
    </w:tblGrid>
    <w:tr w14:paraId="26BD7EE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1938" w:type="dxa"/>
          <w:tcBorders>
            <w:top w:val="dotted" w:color="auto" w:sz="12" w:space="0"/>
            <w:left w:val="dotted" w:color="auto" w:sz="12" w:space="0"/>
            <w:bottom w:val="dotted" w:color="auto" w:sz="12" w:space="0"/>
            <w:right w:val="dotted" w:color="auto" w:sz="12" w:space="0"/>
          </w:tcBorders>
          <w:shd w:val="clear" w:color="auto" w:fill="FFFFFF"/>
          <w:vAlign w:val="center"/>
        </w:tcPr>
        <w:p w14:paraId="0DDE1935">
          <w:pPr>
            <w:jc w:val="center"/>
            <w:rPr>
              <w:b/>
              <w:color w:val="000000"/>
            </w:rPr>
          </w:pPr>
          <w:r>
            <w:drawing>
              <wp:anchor distT="0" distB="0" distL="114300" distR="114300" simplePos="0" relativeHeight="251659264" behindDoc="0" locked="0" layoutInCell="1" allowOverlap="1">
                <wp:simplePos x="0" y="0"/>
                <wp:positionH relativeFrom="column">
                  <wp:posOffset>104775</wp:posOffset>
                </wp:positionH>
                <wp:positionV relativeFrom="paragraph">
                  <wp:posOffset>-46355</wp:posOffset>
                </wp:positionV>
                <wp:extent cx="918845" cy="763270"/>
                <wp:effectExtent l="0" t="0" r="14605" b="17780"/>
                <wp:wrapNone/>
                <wp:docPr id="17120331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033116" name="drawing"/>
                        <pic:cNvPicPr>
                          <a:picLocks noChangeAspect="1"/>
                        </pic:cNvPicPr>
                      </pic:nvPicPr>
                      <pic:blipFill>
                        <a:blip r:embed="rId1"/>
                        <a:stretch>
                          <a:fillRect/>
                        </a:stretch>
                      </pic:blipFill>
                      <pic:spPr>
                        <a:xfrm>
                          <a:off x="0" y="0"/>
                          <a:ext cx="918845" cy="763270"/>
                        </a:xfrm>
                        <a:prstGeom prst="rect">
                          <a:avLst/>
                        </a:prstGeom>
                      </pic:spPr>
                    </pic:pic>
                  </a:graphicData>
                </a:graphic>
              </wp:anchor>
            </w:drawing>
          </w:r>
        </w:p>
        <w:p w14:paraId="6BB30C9F">
          <w:pPr>
            <w:jc w:val="center"/>
            <w:rPr>
              <w:rFonts w:ascii="Arial" w:hAnsi="Arial" w:eastAsia="Arial" w:cs="Arial"/>
              <w:b/>
              <w:color w:val="000000"/>
              <w:sz w:val="18"/>
              <w:szCs w:val="18"/>
            </w:rPr>
          </w:pPr>
        </w:p>
      </w:tc>
      <w:tc>
        <w:tcPr>
          <w:tcW w:w="8112" w:type="dxa"/>
          <w:tcBorders>
            <w:top w:val="dotted" w:color="auto" w:sz="12" w:space="0"/>
            <w:left w:val="dotted" w:color="auto" w:sz="12" w:space="0"/>
            <w:bottom w:val="dotted" w:color="auto" w:sz="12" w:space="0"/>
            <w:right w:val="dotted" w:color="auto" w:sz="12" w:space="0"/>
          </w:tcBorders>
          <w:shd w:val="clear" w:color="auto" w:fill="FFFFFF"/>
          <w:vAlign w:val="center"/>
        </w:tcPr>
        <w:p w14:paraId="28A68B03">
          <w:pPr>
            <w:spacing w:after="0"/>
            <w:jc w:val="center"/>
            <w:rPr>
              <w:rFonts w:hint="default" w:ascii="Arial" w:hAnsi="Arial" w:eastAsia="Arial" w:cs="Arial"/>
              <w:b/>
              <w:color w:val="000000"/>
              <w:sz w:val="16"/>
              <w:szCs w:val="16"/>
              <w:lang w:val="es-ES"/>
            </w:rPr>
          </w:pPr>
          <w:bookmarkStart w:id="0" w:name="_heading=h.1x0gk37" w:colFirst="0" w:colLast="0"/>
          <w:bookmarkEnd w:id="0"/>
          <w:r>
            <w:rPr>
              <w:rFonts w:hint="default" w:ascii="Arial" w:hAnsi="Arial" w:eastAsia="Arial" w:cs="Arial"/>
              <w:b/>
              <w:color w:val="000000"/>
              <w:sz w:val="16"/>
              <w:szCs w:val="16"/>
              <w:lang w:val="es-ES"/>
            </w:rPr>
            <w:t xml:space="preserve">RESUMEN </w:t>
          </w:r>
          <w:r>
            <w:rPr>
              <w:rFonts w:ascii="Arial" w:hAnsi="Arial" w:eastAsia="Arial" w:cs="Arial"/>
              <w:b/>
              <w:color w:val="000000"/>
              <w:sz w:val="16"/>
              <w:szCs w:val="16"/>
            </w:rPr>
            <w:t xml:space="preserve">COMITÉ FIDUCIARIO VIRTUAL No. </w:t>
          </w:r>
          <w:r>
            <w:rPr>
              <w:rFonts w:hint="default" w:ascii="Arial" w:hAnsi="Arial" w:eastAsia="Arial" w:cs="Arial"/>
              <w:b/>
              <w:color w:val="000000"/>
              <w:sz w:val="16"/>
              <w:szCs w:val="16"/>
              <w:lang w:val="es-ES"/>
            </w:rPr>
            <w:t>6</w:t>
          </w:r>
        </w:p>
        <w:p w14:paraId="113FCEC1">
          <w:pPr>
            <w:spacing w:after="0"/>
            <w:jc w:val="center"/>
            <w:rPr>
              <w:rFonts w:ascii="Arial" w:hAnsi="Arial" w:eastAsia="Arial" w:cs="Arial"/>
              <w:b/>
              <w:color w:val="000000"/>
              <w:sz w:val="16"/>
              <w:szCs w:val="16"/>
            </w:rPr>
          </w:pPr>
          <w:r>
            <w:rPr>
              <w:rFonts w:ascii="Arial" w:hAnsi="Arial" w:eastAsia="Arial" w:cs="Arial"/>
              <w:b/>
              <w:color w:val="000000"/>
              <w:sz w:val="16"/>
              <w:szCs w:val="16"/>
            </w:rPr>
            <w:t>PATRIMONIO AUTÓNOMO FINDETER MININTERIOR BANCO DE PROYECTOS 4.0. CONTRATO DE FIDUCIA MERCANTIL - 3-1-127578 DE 2025</w:t>
          </w:r>
        </w:p>
        <w:p w14:paraId="266ABE60">
          <w:pPr>
            <w:spacing w:after="0"/>
            <w:jc w:val="center"/>
            <w:rPr>
              <w:rFonts w:ascii="Arial" w:hAnsi="Arial" w:eastAsia="Arial" w:cs="Arial"/>
              <w:b/>
              <w:color w:val="000000"/>
              <w:sz w:val="16"/>
              <w:szCs w:val="16"/>
            </w:rPr>
          </w:pPr>
          <w:r>
            <w:rPr>
              <w:rFonts w:ascii="Arial" w:hAnsi="Arial" w:eastAsia="Arial" w:cs="Arial"/>
              <w:b/>
              <w:color w:val="000000"/>
              <w:sz w:val="16"/>
              <w:szCs w:val="16"/>
            </w:rPr>
            <w:t xml:space="preserve">CONTRATO INTERADMINISTRATIVO NO. 1773 DE 2025  </w:t>
          </w:r>
        </w:p>
        <w:p w14:paraId="7A88B7BC">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FECHA: </w:t>
          </w:r>
          <w:r>
            <w:rPr>
              <w:rFonts w:hint="default" w:ascii="Arial" w:hAnsi="Arial" w:eastAsia="Arial" w:cs="Arial"/>
              <w:b/>
              <w:color w:val="000000"/>
              <w:sz w:val="14"/>
              <w:szCs w:val="14"/>
              <w:lang w:val="es-ES"/>
            </w:rPr>
            <w:t xml:space="preserve">31 MAR </w:t>
          </w:r>
          <w:r>
            <w:rPr>
              <w:rFonts w:ascii="Arial" w:hAnsi="Arial" w:eastAsia="Arial" w:cs="Arial"/>
              <w:b/>
              <w:color w:val="000000"/>
              <w:sz w:val="14"/>
              <w:szCs w:val="14"/>
            </w:rPr>
            <w:t>20</w:t>
          </w:r>
          <w:r>
            <w:rPr>
              <w:rFonts w:hint="default" w:ascii="Arial" w:hAnsi="Arial" w:eastAsia="Arial" w:cs="Arial"/>
              <w:b/>
              <w:color w:val="000000"/>
              <w:sz w:val="14"/>
              <w:szCs w:val="14"/>
              <w:lang w:val="es-ES"/>
            </w:rPr>
            <w:t xml:space="preserve">26 - 06 ABR DE 2026 </w:t>
          </w:r>
          <w:r>
            <w:rPr>
              <w:rFonts w:ascii="Arial" w:hAnsi="Arial" w:eastAsia="Arial" w:cs="Arial"/>
              <w:b/>
              <w:color w:val="000000"/>
              <w:sz w:val="14"/>
              <w:szCs w:val="14"/>
            </w:rPr>
            <w:t xml:space="preserve">  </w:t>
          </w:r>
        </w:p>
        <w:p w14:paraId="741547E7">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b/>
              <w:color w:val="000000"/>
              <w:sz w:val="14"/>
              <w:szCs w:val="14"/>
            </w:rPr>
          </w:pPr>
          <w:r>
            <w:rPr>
              <w:rFonts w:ascii="Arial" w:hAnsi="Arial" w:eastAsia="Arial" w:cs="Arial"/>
              <w:b/>
              <w:color w:val="000000"/>
              <w:sz w:val="14"/>
              <w:szCs w:val="14"/>
            </w:rPr>
            <w:t xml:space="preserve">VERSIÓN: 1 </w:t>
          </w:r>
        </w:p>
        <w:p w14:paraId="7A94BDE1">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spacing w:after="0" w:line="360" w:lineRule="auto"/>
            <w:jc w:val="right"/>
            <w:rPr>
              <w:rFonts w:ascii="Arial" w:hAnsi="Arial" w:eastAsia="Arial" w:cs="Arial"/>
              <w:color w:val="000000"/>
              <w:sz w:val="18"/>
              <w:szCs w:val="18"/>
            </w:rPr>
          </w:pPr>
          <w:r>
            <w:rPr>
              <w:rFonts w:ascii="Arial" w:hAnsi="Arial" w:eastAsia="Arial" w:cs="Arial"/>
              <w:b/>
              <w:color w:val="000000"/>
              <w:sz w:val="14"/>
              <w:szCs w:val="14"/>
            </w:rPr>
            <w:t xml:space="preserve">PÁGINA: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PAGE</w:instrText>
          </w:r>
          <w:r>
            <w:rPr>
              <w:rFonts w:ascii="Arial" w:hAnsi="Arial" w:eastAsia="Arial" w:cs="Arial"/>
              <w:b/>
              <w:color w:val="000000"/>
              <w:sz w:val="14"/>
              <w:szCs w:val="14"/>
            </w:rPr>
            <w:fldChar w:fldCharType="separate"/>
          </w:r>
          <w:r>
            <w:rPr>
              <w:rFonts w:ascii="Arial" w:hAnsi="Arial" w:eastAsia="Arial" w:cs="Arial"/>
              <w:b/>
              <w:color w:val="000000"/>
              <w:sz w:val="14"/>
              <w:szCs w:val="14"/>
            </w:rPr>
            <w:t>8</w:t>
          </w:r>
          <w:r>
            <w:rPr>
              <w:rFonts w:ascii="Arial" w:hAnsi="Arial" w:eastAsia="Arial" w:cs="Arial"/>
              <w:b/>
              <w:color w:val="000000"/>
              <w:sz w:val="14"/>
              <w:szCs w:val="14"/>
            </w:rPr>
            <w:fldChar w:fldCharType="end"/>
          </w:r>
          <w:r>
            <w:rPr>
              <w:rFonts w:ascii="Arial" w:hAnsi="Arial" w:eastAsia="Arial" w:cs="Arial"/>
              <w:b/>
              <w:color w:val="000000"/>
              <w:sz w:val="14"/>
              <w:szCs w:val="14"/>
            </w:rPr>
            <w:t xml:space="preserve"> de </w:t>
          </w:r>
          <w:r>
            <w:rPr>
              <w:rFonts w:ascii="Arial" w:hAnsi="Arial" w:eastAsia="Arial" w:cs="Arial"/>
              <w:b/>
              <w:color w:val="000000"/>
              <w:sz w:val="14"/>
              <w:szCs w:val="14"/>
            </w:rPr>
            <w:fldChar w:fldCharType="begin"/>
          </w:r>
          <w:r>
            <w:rPr>
              <w:rFonts w:ascii="Arial" w:hAnsi="Arial" w:eastAsia="Arial" w:cs="Arial"/>
              <w:b/>
              <w:color w:val="000000"/>
              <w:sz w:val="14"/>
              <w:szCs w:val="14"/>
            </w:rPr>
            <w:instrText xml:space="preserve">NUMPAGES</w:instrText>
          </w:r>
          <w:r>
            <w:rPr>
              <w:rFonts w:ascii="Arial" w:hAnsi="Arial" w:eastAsia="Arial" w:cs="Arial"/>
              <w:b/>
              <w:color w:val="000000"/>
              <w:sz w:val="14"/>
              <w:szCs w:val="14"/>
            </w:rPr>
            <w:fldChar w:fldCharType="separate"/>
          </w:r>
          <w:r>
            <w:rPr>
              <w:rFonts w:ascii="Arial" w:hAnsi="Arial" w:eastAsia="Arial" w:cs="Arial"/>
              <w:b/>
              <w:color w:val="000000"/>
              <w:sz w:val="14"/>
              <w:szCs w:val="14"/>
            </w:rPr>
            <w:t>40</w:t>
          </w:r>
          <w:r>
            <w:rPr>
              <w:rFonts w:ascii="Arial" w:hAnsi="Arial" w:eastAsia="Arial" w:cs="Arial"/>
              <w:b/>
              <w:color w:val="000000"/>
              <w:sz w:val="14"/>
              <w:szCs w:val="14"/>
            </w:rPr>
            <w:fldChar w:fldCharType="end"/>
          </w:r>
        </w:p>
      </w:tc>
    </w:tr>
  </w:tbl>
  <w:p w14:paraId="628BD1EC">
    <w:pPr>
      <w:pStyle w:val="4"/>
    </w:pPr>
  </w:p>
  <w:p w14:paraId="3C4D6F4F">
    <w:pPr>
      <w:pStyle w:val="4"/>
    </w:pPr>
  </w:p>
  <w:p w14:paraId="0162344F">
    <w:pPr>
      <w:pStyle w:val="4"/>
    </w:pPr>
  </w:p>
  <w:p w14:paraId="27CC8F89">
    <w:pPr>
      <w:pStyle w:val="4"/>
    </w:pPr>
  </w:p>
  <w:p w14:paraId="67FDE6DD">
    <w:pPr>
      <w:pStyle w:val="4"/>
    </w:pPr>
  </w:p>
  <w:p w14:paraId="69A433AF">
    <w:pPr>
      <w:pStyle w:val="4"/>
    </w:pPr>
  </w:p>
  <w:p w14:paraId="6B723136">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2B1515"/>
    <w:rsid w:val="01064F05"/>
    <w:rsid w:val="017137B2"/>
    <w:rsid w:val="234643ED"/>
    <w:rsid w:val="26847937"/>
    <w:rsid w:val="2AAA3386"/>
    <w:rsid w:val="2F93020C"/>
    <w:rsid w:val="36894F05"/>
    <w:rsid w:val="412B1515"/>
    <w:rsid w:val="41A365AF"/>
    <w:rsid w:val="43FB304D"/>
    <w:rsid w:val="596801AA"/>
    <w:rsid w:val="5D58493A"/>
    <w:rsid w:val="61432174"/>
    <w:rsid w:val="62EA5256"/>
    <w:rsid w:val="77B3663B"/>
    <w:rsid w:val="7DB13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header"/>
    <w:basedOn w:val="1"/>
    <w:qFormat/>
    <w:uiPriority w:val="0"/>
    <w:pPr>
      <w:tabs>
        <w:tab w:val="center" w:pos="4153"/>
        <w:tab w:val="right" w:pos="8306"/>
      </w:tabs>
    </w:pPr>
  </w:style>
  <w:style w:type="paragraph" w:styleId="5">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6">
    <w:name w:val="footer"/>
    <w:basedOn w:val="1"/>
    <w:qFormat/>
    <w:uiPriority w:val="0"/>
    <w:pPr>
      <w:tabs>
        <w:tab w:val="center" w:pos="4153"/>
        <w:tab w:val="right" w:pos="8306"/>
      </w:tabs>
    </w:pPr>
  </w:style>
  <w:style w:type="paragraph" w:customStyle="1" w:styleId="7">
    <w:name w:val="_Style 6"/>
    <w:basedOn w:val="1"/>
    <w:next w:val="1"/>
    <w:qFormat/>
    <w:uiPriority w:val="0"/>
    <w:pPr>
      <w:pBdr>
        <w:bottom w:val="single" w:color="auto" w:sz="6" w:space="1"/>
      </w:pBdr>
      <w:jc w:val="center"/>
    </w:pPr>
    <w:rPr>
      <w:rFonts w:ascii="Arial" w:eastAsia="SimSun"/>
      <w:vanish/>
      <w:sz w:val="16"/>
    </w:rPr>
  </w:style>
  <w:style w:type="paragraph" w:customStyle="1" w:styleId="8">
    <w:name w:val="_Style 7"/>
    <w:basedOn w:val="1"/>
    <w:next w:val="1"/>
    <w:qFormat/>
    <w:uiPriority w:val="0"/>
    <w:pPr>
      <w:pBdr>
        <w:top w:val="single" w:color="auto" w:sz="6" w:space="1"/>
      </w:pBdr>
      <w:jc w:val="center"/>
    </w:pPr>
    <w:rPr>
      <w:rFonts w:ascii="Arial" w:eastAsia="SimSun"/>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126</TotalTime>
  <ScaleCrop>false</ScaleCrop>
  <LinksUpToDate>false</LinksUpToDate>
  <CharactersWithSpaces>0</CharactersWithSpaces>
  <Application>WPS Office_12.2.0.23202_F1E327BC-269C-435d-A152-05C5408002CA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2026-05-07T23:59:00Z</dcterms:created>
  <dc:creator>laura carolina</dc:creator>
  <cp:lastModifiedBy>laura carolina</cp:lastModifiedBy>
  <dcterms:modified xsi:type="dcterms:W3CDTF">2026-05-12T00:25:59Z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3082-12.2.0.23202</vt:lpwstr>
  </property>
  <property fmtid="{D5CDD505-2E9C-101B-9397-08002B2CF9AE}" pid="3" name="ICV">
    <vt:lpwstr>E8EDF6F212E54D238755DE39720B9442_13</vt:lpwstr>
  </property>
</Properties>
</file>